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1" w:rsidRPr="004166BB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Ve Zlínském kraji se o první Českou cenu za architekturu uchází 5 nominovaných děl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Česká komora architektů (ČKA) v lednu 2016 </w:t>
      </w:r>
      <w:hyperlink r:id="rId8" w:history="1">
        <w:r>
          <w:rPr>
            <w:rStyle w:val="Hypertextovodkaz"/>
            <w:rFonts w:ascii="Georgia" w:hAnsi="Georgia"/>
            <w:b/>
            <w:bCs/>
          </w:rPr>
          <w:t>vyhlásila 1. ročník České ceny za architekturu</w:t>
        </w:r>
      </w:hyperlink>
      <w:r>
        <w:rPr>
          <w:rFonts w:ascii="Georgia" w:hAnsi="Georgia"/>
          <w:b/>
          <w:bCs/>
          <w:color w:val="000000"/>
        </w:rPr>
        <w:t xml:space="preserve"> (ČCA). Soutěžní přehlídka se setkala s obrovským zájmem architektů, kteří do ní přihlásili </w:t>
      </w:r>
      <w:hyperlink r:id="rId9" w:history="1">
        <w:r>
          <w:rPr>
            <w:rStyle w:val="Hypertextovodkaz"/>
            <w:rFonts w:ascii="Georgia" w:hAnsi="Georgia"/>
            <w:b/>
            <w:bCs/>
          </w:rPr>
          <w:t>téměř 500 realizací</w:t>
        </w:r>
      </w:hyperlink>
      <w:r>
        <w:rPr>
          <w:rFonts w:ascii="Georgia" w:hAnsi="Georgia"/>
          <w:b/>
          <w:bCs/>
          <w:color w:val="000000"/>
        </w:rPr>
        <w:t>. Sedmičlenná mezinárodní odborná porota (Boris Bežan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b/>
          <w:bCs/>
          <w:color w:val="000000"/>
        </w:rPr>
        <w:t>Kees Kaan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b/>
          <w:bCs/>
          <w:color w:val="000000"/>
        </w:rPr>
        <w:t>Ivan Koleček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b/>
          <w:bCs/>
          <w:color w:val="000000"/>
        </w:rPr>
        <w:t>Miriam Lišková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b/>
          <w:bCs/>
          <w:color w:val="000000"/>
        </w:rPr>
        <w:t>Joe Morris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b/>
          <w:bCs/>
          <w:color w:val="000000"/>
        </w:rPr>
        <w:t>Martin Rein-Cano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 xml:space="preserve">a Jan De Vylder) do užšího výběru nominovala 63 děl, ze kterých na podzim 2016 vzejde zhruba deset finalistů a celkový vítěz České ceny za architekturu. Nominační večer se konal 14. června v kulturním prostoru La Fabrika v pražských Holešovicích. V nominacích poroty jsou pokryty téměř všechny regiony České republiky, Zlínský kraj je zastoupen 5 architektonickými díly.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Soutěžní přehlídka byla ve svém prvním roce otevřena realizacím za posledních pět let. Mezi nominovanými projekty však byla převážná část děl </w:t>
      </w:r>
      <w:r>
        <w:rPr>
          <w:rFonts w:ascii="Georgia" w:hAnsi="Georgia"/>
          <w:b/>
          <w:bCs/>
          <w:color w:val="000000"/>
        </w:rPr>
        <w:t>dokončena teprve v posledních dvou letech</w:t>
      </w:r>
      <w:r>
        <w:rPr>
          <w:rFonts w:ascii="Georgia" w:hAnsi="Georgia"/>
          <w:color w:val="000000"/>
        </w:rPr>
        <w:t xml:space="preserve"> (dvacet jedna děl bylo dokončených v roce 2015 a patnáct v roce 2014).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Zda některá z realizací nacházející se ve Zlínském kraji osloví porotce natolik, že se zařadí mezi finalisty, bude jasné </w:t>
      </w:r>
      <w:r>
        <w:rPr>
          <w:rFonts w:ascii="Georgia" w:hAnsi="Georgia"/>
          <w:b/>
          <w:bCs/>
          <w:color w:val="000000"/>
        </w:rPr>
        <w:t>7. listopadu</w:t>
      </w:r>
      <w:r>
        <w:rPr>
          <w:rFonts w:ascii="Georgia" w:hAnsi="Georgia"/>
          <w:color w:val="000000"/>
        </w:rPr>
        <w:t xml:space="preserve"> na </w:t>
      </w:r>
      <w:r>
        <w:rPr>
          <w:rFonts w:ascii="Georgia" w:hAnsi="Georgia"/>
          <w:b/>
          <w:bCs/>
          <w:color w:val="000000"/>
        </w:rPr>
        <w:t>slavnostním galavečeru v prostoru pro nové umění – Jatka 78</w:t>
      </w:r>
      <w:r>
        <w:rPr>
          <w:rFonts w:ascii="Georgia" w:hAnsi="Georgia"/>
          <w:color w:val="000000"/>
        </w:rPr>
        <w:t xml:space="preserve">. Na akci budou rovněž vyhlášeny výsledky </w:t>
      </w:r>
      <w:r>
        <w:rPr>
          <w:rFonts w:ascii="Georgia" w:hAnsi="Georgia"/>
          <w:b/>
          <w:bCs/>
          <w:color w:val="000000"/>
        </w:rPr>
        <w:t>výjimečného počinu</w:t>
      </w:r>
      <w:r>
        <w:rPr>
          <w:rFonts w:ascii="Georgia" w:hAnsi="Georgia"/>
          <w:color w:val="000000"/>
        </w:rPr>
        <w:t xml:space="preserve"> a </w:t>
      </w:r>
      <w:r>
        <w:rPr>
          <w:rFonts w:ascii="Georgia" w:hAnsi="Georgia"/>
          <w:b/>
          <w:bCs/>
          <w:color w:val="000000"/>
        </w:rPr>
        <w:t>mimořádné ceny</w:t>
      </w:r>
      <w:r>
        <w:rPr>
          <w:rFonts w:ascii="Georgia" w:hAnsi="Georgia"/>
          <w:color w:val="000000"/>
        </w:rPr>
        <w:t xml:space="preserve">. Úkol to bude jistě nesnadný, s řadou děl se však porota seznámí přímo v terénu na začátku září.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Tři z pěti realizací </w:t>
      </w:r>
      <w:r>
        <w:rPr>
          <w:rFonts w:ascii="Georgia" w:hAnsi="Georgia"/>
          <w:b/>
          <w:bCs/>
          <w:color w:val="000000"/>
        </w:rPr>
        <w:t>Zlínského kraje</w:t>
      </w:r>
      <w:r>
        <w:rPr>
          <w:rFonts w:ascii="Georgia" w:hAnsi="Georgia"/>
          <w:color w:val="000000"/>
        </w:rPr>
        <w:t xml:space="preserve"> </w:t>
      </w:r>
      <w:r w:rsidRPr="00142FF6">
        <w:rPr>
          <w:rFonts w:ascii="Georgia" w:hAnsi="Georgia"/>
          <w:color w:val="000000"/>
        </w:rPr>
        <w:t>byly navíc realizovány</w:t>
      </w:r>
      <w:r w:rsidRPr="00A67E7A">
        <w:rPr>
          <w:rFonts w:ascii="Georgia" w:hAnsi="Georgia"/>
          <w:color w:val="000000"/>
        </w:rPr>
        <w:t xml:space="preserve"> formou</w:t>
      </w:r>
      <w:r>
        <w:rPr>
          <w:rFonts w:ascii="Georgia" w:hAnsi="Georgia"/>
          <w:color w:val="000000"/>
        </w:rPr>
        <w:t xml:space="preserve"> architektonické soutěže, kterou Česká komora architektů dlouho</w:t>
      </w:r>
      <w:bookmarkStart w:id="0" w:name="_GoBack"/>
      <w:bookmarkEnd w:id="0"/>
      <w:r>
        <w:rPr>
          <w:rFonts w:ascii="Georgia" w:hAnsi="Georgia"/>
          <w:color w:val="000000"/>
        </w:rPr>
        <w:t xml:space="preserve">době prosazuje jako nejkvalitnější a nejtransparentnější způsob výběru projektanta (Gahurův prospekt ve Zlíně, Baťův institut ve Zlíně a Park Komenského ve Zlíně). Dvě z pěti staveb ze „zlínského okruhu“ byly rovněž v minulosti předními českými odborníky nominovány na prestižní Mies van der Rohe Award – Evropskou cenu za současnou architekturu za rok 2015 (Gahurův prospekt a Biotop v Honěticích u Kroměříže).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REALIZACE VE ZLÍNSKÉM KRAJI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883C7D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hyperlink r:id="rId10" w:history="1">
        <w:r w:rsidR="00A67E7A">
          <w:rPr>
            <w:rStyle w:val="Hypertextovodkaz"/>
            <w:rFonts w:ascii="Georgia" w:hAnsi="Georgia"/>
            <w:b/>
            <w:bCs/>
          </w:rPr>
          <w:t>Revitalizace Gahurova prospektu ve Zlíně</w:t>
        </w:r>
      </w:hyperlink>
    </w:p>
    <w:p w:rsidR="00A67E7A" w:rsidRDefault="00A67E7A" w:rsidP="00A67E7A">
      <w:pPr>
        <w:pStyle w:val="Normlnweb"/>
        <w:shd w:val="clear" w:color="auto" w:fill="FFFFFF"/>
        <w:ind w:left="1083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Adresa: </w:t>
      </w:r>
      <w:r>
        <w:rPr>
          <w:rFonts w:ascii="Georgia" w:hAnsi="Georgia"/>
          <w:color w:val="000000"/>
          <w:lang w:val="en-US"/>
        </w:rPr>
        <w:t>náměstí T.G.M., Zlín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Autoři: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lang w:val="en-US"/>
        </w:rPr>
        <w:t>Ing. arch. Jitka Ressová, Ing. arch. Hana Maršíková, MgA. Jan Pavézka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  <w:lang w:val="en-US"/>
        </w:rPr>
        <w:t xml:space="preserve">Gahurův prospekt je součástí urbanistického plánu navrženého F.L.Gahurou (1891-1958) ve 20. a 30. letech minulého století, patří k nejcennějším místům ve Zlíně. Jedná se o severojižní kompoziční osu centra města, tvoří „zelenou“ páteř, která propojuje </w:t>
      </w:r>
      <w:r>
        <w:rPr>
          <w:rFonts w:ascii="Georgia" w:hAnsi="Georgia"/>
          <w:color w:val="000000"/>
          <w:lang w:val="en-US"/>
        </w:rPr>
        <w:lastRenderedPageBreak/>
        <w:t>okolní lesy nad městem s městskými parky. Zelený pás završuje památník T. Bati. Řešení revitalizace GP vzešlo z veřejné architektonické soutěže, iniciované po komunálních volbách novými radními města. Řešená část GP se nachází ve spodní části prospektu, je obklopena budovami Tržnice a Obchodního domu na západní straně a na východní straně budovou Kongresového centra a rektorátu UTB. Hlavním se stalo naplnění ideje „projít a nepřerušit“. Projít – umožnit lidem volný pohyb v prostoru, který je kultivovaný, čistý, přehledný a funkční, nepřerušit – cíleně reagovat na koncepci F. L. Gahury.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  <w:lang w:val="en-US"/>
        </w:rPr>
      </w:pPr>
    </w:p>
    <w:p w:rsidR="00A67E7A" w:rsidRDefault="00883C7D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hyperlink r:id="rId11" w:history="1">
        <w:r w:rsidR="00A67E7A">
          <w:rPr>
            <w:rStyle w:val="Hypertextovodkaz"/>
            <w:rFonts w:ascii="Georgia" w:hAnsi="Georgia"/>
            <w:b/>
            <w:bCs/>
          </w:rPr>
          <w:t>Baťův institut</w:t>
        </w:r>
      </w:hyperlink>
    </w:p>
    <w:p w:rsidR="00A67E7A" w:rsidRDefault="00A67E7A" w:rsidP="00A67E7A">
      <w:pPr>
        <w:pStyle w:val="Normlnweb"/>
        <w:shd w:val="clear" w:color="auto" w:fill="FFFFFF"/>
        <w:ind w:left="1083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Adresa: </w:t>
      </w:r>
      <w:r>
        <w:rPr>
          <w:rFonts w:ascii="Georgia" w:hAnsi="Georgia"/>
          <w:color w:val="000000"/>
          <w:lang w:val="en-US"/>
        </w:rPr>
        <w:t>Vavrečkova 7040, Zlín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Autoři: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lang w:val="en-US"/>
        </w:rPr>
        <w:t>Ing. arch. MgA. Juraj Sonlajtner, Ing. arch. Jakub Obůrka (autoři stavby), Ing. Petr Všetečka, Ing. Robert Václavík, Ing. arch. Karel Menšík (autoři stálých expozic)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  <w:lang w:val="en-US"/>
        </w:rPr>
        <w:t>Výrobní areál Baťovy továrny ve Zlíně je jedním z největších skvostů české industriální architektury. V roce 2013 došlo k rekonstrukci a konverzi dvou budov č.14 a č.15 postavených v letech 1948-1949. Budovy se přeměnily na Baťův institut kde sídlí kulturní instituce Zlínského kraje – galerie, muzeum a knihovna. Obě budovy jsou propojeny v jeden celek pomocí přistavěné hmoty skladu knih, která vytváří nový veřejný prostor – platformu, místo pro setkávání, výstavy, koncerty a další kulturní akce.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883C7D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hyperlink r:id="rId12" w:history="1">
        <w:r w:rsidR="00A67E7A">
          <w:rPr>
            <w:rStyle w:val="Hypertextovodkaz"/>
            <w:rFonts w:ascii="Georgia" w:hAnsi="Georgia"/>
            <w:b/>
            <w:bCs/>
          </w:rPr>
          <w:t>Revitalizace prostoru Parku Komenského ve Zlíně</w:t>
        </w:r>
      </w:hyperlink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Adresa: </w:t>
      </w:r>
      <w:r>
        <w:rPr>
          <w:rFonts w:ascii="Georgia" w:hAnsi="Georgia"/>
          <w:color w:val="000000"/>
          <w:lang w:val="en-US"/>
        </w:rPr>
        <w:t>Komenského park, Zlín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Autoři: </w:t>
      </w:r>
      <w:r>
        <w:rPr>
          <w:rFonts w:ascii="Georgia" w:hAnsi="Georgia"/>
          <w:color w:val="000000"/>
          <w:lang w:val="en-US"/>
        </w:rPr>
        <w:t>Ing. Václav Babka, Ing. arch. Pavel Mudřík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  <w:lang w:val="en-US"/>
        </w:rPr>
        <w:t xml:space="preserve">Vítězný návrh ojedinělé anonymní veřejné architektonické soutěže, která byla vypsána ve spolupráci s ČKA. Jejím cílem bylo pozvednout park na úroveň plnohodnotného, významného městotvorného prostoru - veřejného městského parku a vytvoření území, které se stane živým prostorem, mezi „starým“ a „novým“ Zlínem. Zásadní proměnou prošla ulice Školní, která je nyní kultivovanou, frekventovanou pěší komunikací. Stávající pěší trasy v parku nahradily geometrické chodníky, centrální eliptická komunikace vymezuje vnitřní intenzivně udržovanou plochu parku.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883C7D" w:rsidP="00A67E7A">
      <w:pPr>
        <w:pStyle w:val="western"/>
        <w:shd w:val="clear" w:color="auto" w:fill="FFFFFF"/>
        <w:spacing w:line="403" w:lineRule="atLeast"/>
        <w:rPr>
          <w:rFonts w:ascii="Calibri" w:hAnsi="Calibri"/>
          <w:color w:val="000000"/>
        </w:rPr>
      </w:pPr>
      <w:hyperlink r:id="rId13" w:history="1">
        <w:r w:rsidR="00A67E7A">
          <w:rPr>
            <w:rStyle w:val="Hypertextovodkaz"/>
            <w:rFonts w:ascii="Georgia" w:hAnsi="Georgia"/>
            <w:b/>
            <w:bCs/>
          </w:rPr>
          <w:t>Národní centrum zahradní kultury</w:t>
        </w:r>
      </w:hyperlink>
    </w:p>
    <w:p w:rsidR="00A67E7A" w:rsidRDefault="00A67E7A" w:rsidP="00A67E7A">
      <w:pPr>
        <w:pStyle w:val="western"/>
        <w:shd w:val="clear" w:color="auto" w:fill="FFFFFF"/>
        <w:spacing w:line="403" w:lineRule="atLeast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Adresa: </w:t>
      </w:r>
      <w:r>
        <w:rPr>
          <w:rFonts w:ascii="Georgia" w:hAnsi="Georgia"/>
          <w:color w:val="000000"/>
          <w:lang w:val="en-US"/>
        </w:rPr>
        <w:t>Kroměříž, Arcibiskupský zámek a zahrady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Autoři: </w:t>
      </w:r>
      <w:r>
        <w:rPr>
          <w:rFonts w:ascii="Georgia" w:hAnsi="Georgia"/>
          <w:color w:val="000000"/>
          <w:lang w:val="en-US"/>
        </w:rPr>
        <w:t>Ing. arch. Antonín Novák, Ing. arch. Petr Valenta, Ing. arch. Eduard Štěrbák, Ing. Zdeněk Sendler - zahradní úpravy, Ing. Přemysl Krejčiřík - zahradní úpravy, Dr. Ing. arch. Otakar Kuča - zahradní úpravy, Ing. Petr Všetečka, Ing. Robert Václavík - urbanistický generel a supervize</w:t>
      </w:r>
    </w:p>
    <w:p w:rsidR="00A67E7A" w:rsidRDefault="00A67E7A" w:rsidP="00A67E7A">
      <w:pPr>
        <w:pStyle w:val="western"/>
        <w:shd w:val="clear" w:color="auto" w:fill="FFFFFF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  <w:lang w:val="en-US"/>
        </w:rPr>
        <w:t xml:space="preserve">Národní centrum zahradní architektury je multioborové centrum pro oblast obnovy a následné péče o historické zahrady a parky, které usiluje o navrácení společenské </w:t>
      </w:r>
      <w:r>
        <w:rPr>
          <w:rFonts w:ascii="Georgia" w:hAnsi="Georgia"/>
          <w:color w:val="000000"/>
          <w:lang w:val="en-US"/>
        </w:rPr>
        <w:lastRenderedPageBreak/>
        <w:t>prestiže památkám zahradního umění a jejich představení z mnoha rozličných úhlů tak, aby byly opět chápány jako součást vysoké kultury. Jeho existence je úzce spjata s provozem, obnovou a údržbou památky světového přírodního a kulturního dědictví UNESCO - Zámku se zahradami v Kroměříži.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  <w:lang w:val="en-US"/>
        </w:rPr>
      </w:pPr>
    </w:p>
    <w:p w:rsidR="00A67E7A" w:rsidRDefault="00883C7D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hyperlink r:id="rId14" w:history="1">
        <w:r w:rsidR="00A67E7A">
          <w:rPr>
            <w:rStyle w:val="Hypertextovodkaz"/>
            <w:rFonts w:ascii="Georgia" w:hAnsi="Georgia"/>
            <w:b/>
            <w:bCs/>
          </w:rPr>
          <w:t>Adaptace bývalých zemědělských garáží na zázemí biotopu</w:t>
        </w:r>
      </w:hyperlink>
    </w:p>
    <w:p w:rsidR="00A67E7A" w:rsidRDefault="00A67E7A" w:rsidP="00A67E7A">
      <w:pPr>
        <w:pStyle w:val="western"/>
        <w:shd w:val="clear" w:color="auto" w:fill="FFFFFF"/>
        <w:spacing w:line="403" w:lineRule="atLeast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Adresa: </w:t>
      </w:r>
      <w:r>
        <w:rPr>
          <w:rFonts w:ascii="Georgia" w:hAnsi="Georgia"/>
          <w:color w:val="000000"/>
          <w:lang w:val="en-US"/>
        </w:rPr>
        <w:t>Dvůr Honětice, Honětice 16, 768 13 Honětice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 xml:space="preserve">Autoři: </w:t>
      </w:r>
      <w:r>
        <w:rPr>
          <w:rFonts w:ascii="Georgia" w:hAnsi="Georgia"/>
          <w:color w:val="000000"/>
          <w:lang w:val="en-US"/>
        </w:rPr>
        <w:t>Martin Prokš, Marek Přikryl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  <w:lang w:val="en-US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  <w:lang w:val="en-US"/>
        </w:rPr>
        <w:t>Dvůr Honětice je historický zemědělský dvůr, který byl od nepaměti součástí nedalekého zámku ve Zdislavicích.</w:t>
      </w:r>
      <w:r>
        <w:rPr>
          <w:rFonts w:ascii="Georgia" w:hAnsi="Georgia"/>
          <w:color w:val="000000"/>
          <w:u w:val="single"/>
          <w:lang w:val="en-US"/>
        </w:rPr>
        <w:t xml:space="preserve"> </w:t>
      </w:r>
      <w:r>
        <w:rPr>
          <w:rFonts w:ascii="Georgia" w:hAnsi="Georgia"/>
          <w:color w:val="000000"/>
          <w:lang w:val="en-US"/>
        </w:rPr>
        <w:t>Zázemí biotopu, stále více oblíbeného typu umělého koupaliště s přirozeným procesem čištění vody, využívá původní provozní objekt zemědělského družstva. Ponechaný železobetonový montovaný skelet garáží i s žebírkovým stropem a prostor mezi sloupy vyplňuje nový program - občerstvení, jídelna, půjčovna sportovních potřeb a hygienické zázemí.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i/>
          <w:iCs/>
          <w:color w:val="FF0000"/>
          <w:sz w:val="22"/>
          <w:szCs w:val="22"/>
        </w:rPr>
        <w:t xml:space="preserve">Seznam všech nominovaných staveb naleznete na </w:t>
      </w:r>
      <w:hyperlink r:id="rId15" w:history="1">
        <w:r>
          <w:rPr>
            <w:rStyle w:val="Hypertextovodkaz"/>
            <w:rFonts w:ascii="Georgia" w:hAnsi="Georgia"/>
            <w:b/>
            <w:bCs/>
            <w:sz w:val="22"/>
            <w:szCs w:val="22"/>
          </w:rPr>
          <w:t>ceskacenazaarchitekturu.cz</w:t>
        </w:r>
      </w:hyperlink>
      <w:r>
        <w:rPr>
          <w:rFonts w:ascii="Georgia" w:hAnsi="Georgia"/>
          <w:b/>
          <w:bCs/>
          <w:i/>
          <w:iCs/>
          <w:color w:val="FF0000"/>
          <w:sz w:val="22"/>
          <w:szCs w:val="22"/>
        </w:rPr>
        <w:t xml:space="preserve">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i/>
          <w:iCs/>
          <w:color w:val="FF0000"/>
        </w:rPr>
        <w:t>Ke stažení zde také najdete fotografie nominovaných staveb v tiskové kvalitě (sekce Press v hlavním menu).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DALŠÍ </w:t>
      </w:r>
      <w:r>
        <w:rPr>
          <w:rFonts w:ascii="Georgia" w:hAnsi="Georgia"/>
          <w:b/>
          <w:bCs/>
          <w:color w:val="000000"/>
          <w:u w:val="single"/>
        </w:rPr>
        <w:t>INFORMACE POSKYTNE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Zuzana Hošková, tisková mluvčí ČKA, </w:t>
      </w:r>
      <w:hyperlink r:id="rId16" w:history="1">
        <w:r>
          <w:rPr>
            <w:rStyle w:val="Hypertextovodkaz"/>
            <w:rFonts w:ascii="Georgia" w:hAnsi="Georgia"/>
          </w:rPr>
          <w:t>zuzana.hoskova@cka.cc</w:t>
        </w:r>
      </w:hyperlink>
      <w:r>
        <w:rPr>
          <w:rFonts w:ascii="Georgia" w:hAnsi="Georgia"/>
          <w:color w:val="000000"/>
        </w:rPr>
        <w:t>, +420 608 976 925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Alice Titzová, mediální servis 2media.cz, </w:t>
      </w:r>
      <w:hyperlink r:id="rId17" w:history="1">
        <w:r>
          <w:rPr>
            <w:rStyle w:val="Hypertextovodkaz"/>
            <w:rFonts w:ascii="Georgia" w:hAnsi="Georgia"/>
          </w:rPr>
          <w:t>alice@2media.cz</w:t>
        </w:r>
      </w:hyperlink>
      <w:r>
        <w:rPr>
          <w:rFonts w:ascii="Georgia" w:hAnsi="Georgia"/>
          <w:color w:val="000000"/>
        </w:rPr>
        <w:t>, + 420 724 258 661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SLEDUJTE </w:t>
      </w:r>
      <w:r>
        <w:rPr>
          <w:rFonts w:ascii="Georgia" w:hAnsi="Georgia"/>
          <w:b/>
          <w:bCs/>
          <w:color w:val="000000"/>
          <w:u w:val="single"/>
        </w:rPr>
        <w:t xml:space="preserve">ČESKOU CENU ZA ARCHITEKTURU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Na novém portálu </w:t>
      </w:r>
      <w:hyperlink r:id="rId18" w:history="1">
        <w:r>
          <w:rPr>
            <w:rStyle w:val="Hypertextovodkaz"/>
            <w:rFonts w:ascii="Georgia" w:hAnsi="Georgia"/>
          </w:rPr>
          <w:t>ceskacenazaarchitekturu.cz</w:t>
        </w:r>
      </w:hyperlink>
      <w:r>
        <w:rPr>
          <w:rFonts w:ascii="Georgia" w:hAnsi="Georgia"/>
          <w:color w:val="000000"/>
        </w:rPr>
        <w:t xml:space="preserve"> a na </w:t>
      </w:r>
      <w:hyperlink r:id="rId19" w:history="1">
        <w:r>
          <w:rPr>
            <w:rStyle w:val="Hypertextovodkaz"/>
            <w:rFonts w:ascii="Georgia" w:hAnsi="Georgia"/>
          </w:rPr>
          <w:t>Facebook</w:t>
        </w:r>
      </w:hyperlink>
      <w:r>
        <w:rPr>
          <w:rFonts w:ascii="Georgia" w:hAnsi="Georgia"/>
          <w:color w:val="000000"/>
        </w:rPr>
        <w:t xml:space="preserve">u ceny. 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O ČESKÉ KOMOŘE </w:t>
      </w:r>
      <w:r>
        <w:rPr>
          <w:rFonts w:ascii="Georgia" w:hAnsi="Georgia"/>
          <w:b/>
          <w:bCs/>
          <w:color w:val="000000"/>
          <w:u w:val="single"/>
        </w:rPr>
        <w:t>ARCHITEKTŮ</w:t>
      </w:r>
    </w:p>
    <w:p w:rsidR="00A67E7A" w:rsidRDefault="00A67E7A" w:rsidP="00A67E7A">
      <w:pPr>
        <w:pStyle w:val="western"/>
        <w:shd w:val="clear" w:color="auto" w:fill="FFFFFF"/>
        <w:spacing w:line="264" w:lineRule="auto"/>
        <w:rPr>
          <w:rFonts w:ascii="Calibri" w:hAnsi="Calibri"/>
          <w:color w:val="000000"/>
        </w:rPr>
      </w:pPr>
      <w:r>
        <w:rPr>
          <w:rFonts w:ascii="Georgia" w:hAnsi="Georgia"/>
          <w:color w:val="000000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:rsidR="004D0F01" w:rsidRPr="00E03116" w:rsidRDefault="004D0F01" w:rsidP="00E0311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sectPr w:rsidR="004D0F01" w:rsidRPr="00E03116" w:rsidSect="009760AD">
      <w:headerReference w:type="default" r:id="rId20"/>
      <w:footerReference w:type="even" r:id="rId21"/>
      <w:footerReference w:type="default" r:id="rId22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A1" w:rsidRDefault="00317EA1">
      <w:r>
        <w:separator/>
      </w:r>
    </w:p>
  </w:endnote>
  <w:endnote w:type="continuationSeparator" w:id="0">
    <w:p w:rsidR="00317EA1" w:rsidRDefault="0031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F" w:rsidRDefault="00883C7D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C43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439F" w:rsidRDefault="006C439F" w:rsidP="00046C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F" w:rsidRPr="00B4256A" w:rsidRDefault="00883C7D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="006C439F"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142FF6">
      <w:rPr>
        <w:rStyle w:val="slostrnky"/>
        <w:rFonts w:ascii="Verdana" w:hAnsi="Verdana"/>
        <w:noProof/>
        <w:sz w:val="16"/>
      </w:rPr>
      <w:t>2</w:t>
    </w:r>
    <w:r w:rsidRPr="00B4256A">
      <w:rPr>
        <w:rStyle w:val="slostrnky"/>
        <w:rFonts w:ascii="Verdana" w:hAnsi="Verdana"/>
        <w:sz w:val="16"/>
      </w:rPr>
      <w:fldChar w:fldCharType="end"/>
    </w:r>
  </w:p>
  <w:p w:rsidR="006C439F" w:rsidRDefault="006C439F" w:rsidP="00046CA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A1" w:rsidRDefault="00317EA1">
      <w:r>
        <w:separator/>
      </w:r>
    </w:p>
  </w:footnote>
  <w:footnote w:type="continuationSeparator" w:id="0">
    <w:p w:rsidR="00317EA1" w:rsidRDefault="0031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F" w:rsidRDefault="006C439F" w:rsidP="003A4F4F">
    <w:pPr>
      <w:pStyle w:val="Zhlav"/>
      <w:tabs>
        <w:tab w:val="clear" w:pos="4536"/>
        <w:tab w:val="clear" w:pos="9072"/>
        <w:tab w:val="left" w:pos="1946"/>
      </w:tabs>
    </w:pPr>
    <w:r w:rsidRPr="00BC185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6C439F" w:rsidRDefault="006C43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DE9"/>
    <w:multiLevelType w:val="hybridMultilevel"/>
    <w:tmpl w:val="4D287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BF9"/>
    <w:multiLevelType w:val="hybridMultilevel"/>
    <w:tmpl w:val="D764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4C8"/>
    <w:multiLevelType w:val="hybridMultilevel"/>
    <w:tmpl w:val="76ECE14C"/>
    <w:lvl w:ilvl="0" w:tplc="3B300C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F1BC4"/>
    <w:multiLevelType w:val="hybridMultilevel"/>
    <w:tmpl w:val="9D401A8C"/>
    <w:lvl w:ilvl="0" w:tplc="33BAE2C0">
      <w:start w:val="4"/>
      <w:numFmt w:val="decimal"/>
      <w:lvlText w:val="%1d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A7F4E"/>
    <w:multiLevelType w:val="hybridMultilevel"/>
    <w:tmpl w:val="E1A4131C"/>
    <w:lvl w:ilvl="0" w:tplc="1F5C5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Start w:val="66"/>
    <w:footnote w:id="-1"/>
    <w:footnote w:id="0"/>
  </w:footnotePr>
  <w:endnotePr>
    <w:endnote w:id="-1"/>
    <w:endnote w:id="0"/>
  </w:endnotePr>
  <w:compat/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29A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FAE"/>
    <w:rsid w:val="000D4210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B7A"/>
    <w:rsid w:val="00134F73"/>
    <w:rsid w:val="00135E12"/>
    <w:rsid w:val="00136F78"/>
    <w:rsid w:val="00137FCB"/>
    <w:rsid w:val="00140464"/>
    <w:rsid w:val="001414F3"/>
    <w:rsid w:val="00141662"/>
    <w:rsid w:val="00142FB8"/>
    <w:rsid w:val="00142FF6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5E4F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B7CA4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4D5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B3C"/>
    <w:rsid w:val="00215F37"/>
    <w:rsid w:val="00216301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0478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9B6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703E"/>
    <w:rsid w:val="00307417"/>
    <w:rsid w:val="00307BCD"/>
    <w:rsid w:val="00311885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17EA1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03D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6BB"/>
    <w:rsid w:val="00416705"/>
    <w:rsid w:val="004176B0"/>
    <w:rsid w:val="004176DE"/>
    <w:rsid w:val="00420B59"/>
    <w:rsid w:val="00422254"/>
    <w:rsid w:val="0042233D"/>
    <w:rsid w:val="004223CA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6A1C"/>
    <w:rsid w:val="00447312"/>
    <w:rsid w:val="004508DF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17FA"/>
    <w:rsid w:val="0047396D"/>
    <w:rsid w:val="00473A06"/>
    <w:rsid w:val="00473FD6"/>
    <w:rsid w:val="004743C6"/>
    <w:rsid w:val="00474583"/>
    <w:rsid w:val="00474BD1"/>
    <w:rsid w:val="004755ED"/>
    <w:rsid w:val="00475E32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08CE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048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3C7D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0B2F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626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A039C"/>
    <w:rsid w:val="009A0558"/>
    <w:rsid w:val="009A07C1"/>
    <w:rsid w:val="009A268E"/>
    <w:rsid w:val="009A54CD"/>
    <w:rsid w:val="009A5EC9"/>
    <w:rsid w:val="009A652F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5EC2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BEA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67E7A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45C0"/>
    <w:rsid w:val="00AC541A"/>
    <w:rsid w:val="00AC57B1"/>
    <w:rsid w:val="00AC5F05"/>
    <w:rsid w:val="00AC695F"/>
    <w:rsid w:val="00AC779D"/>
    <w:rsid w:val="00AD189D"/>
    <w:rsid w:val="00AD282D"/>
    <w:rsid w:val="00AD37D2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1265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0E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29A9"/>
    <w:rsid w:val="00CE37D9"/>
    <w:rsid w:val="00CE37DB"/>
    <w:rsid w:val="00CE75EC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4E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4ACB"/>
    <w:rsid w:val="00D75E95"/>
    <w:rsid w:val="00D75EAC"/>
    <w:rsid w:val="00D765A4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17FA"/>
    <w:rsid w:val="00E12BA5"/>
    <w:rsid w:val="00E13176"/>
    <w:rsid w:val="00E1380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50D"/>
    <w:rsid w:val="00E6761D"/>
    <w:rsid w:val="00E677FA"/>
    <w:rsid w:val="00E70AAB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4CF5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4014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C4"/>
  </w:style>
  <w:style w:type="paragraph" w:styleId="Nadpis2">
    <w:name w:val="heading 2"/>
    <w:basedOn w:val="Normln"/>
    <w:link w:val="Nadpis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D42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57B1"/>
    <w:rPr>
      <w:rFonts w:ascii="Times" w:hAnsi="Times"/>
      <w:b/>
      <w:bCs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850048"/>
  </w:style>
  <w:style w:type="character" w:customStyle="1" w:styleId="Nadpis3Char">
    <w:name w:val="Nadpis 3 Char"/>
    <w:basedOn w:val="Standardnpsmoodstavce"/>
    <w:link w:val="Nadpis3"/>
    <w:semiHidden/>
    <w:rsid w:val="000D42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Normln"/>
    <w:uiPriority w:val="99"/>
    <w:semiHidden/>
    <w:rsid w:val="00A67E7A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pro-media/tiskove-zpravy-cka/ceska-komora-architektu-vyhlasila-1-rocnik-ceske-ceny-za-architekturu" TargetMode="External"/><Relationship Id="rId13" Type="http://schemas.openxmlformats.org/officeDocument/2006/relationships/hyperlink" Target="http://ceskacenazaarchitekturu.cz/projekty/narodni-centrum-zahradni-kultury-kromeriz/" TargetMode="External"/><Relationship Id="rId18" Type="http://schemas.openxmlformats.org/officeDocument/2006/relationships/hyperlink" Target="http://ceskacenazaarchitekturu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eskacenazaarchitekturu.cz/projekty/revitalizace-prostoru-parku-komenskeho-ve-zline/" TargetMode="External"/><Relationship Id="rId17" Type="http://schemas.openxmlformats.org/officeDocument/2006/relationships/hyperlink" Target="mailto:alice@2medi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uzana.hoskova@cka.c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acenazaarchitekturu.cz/projekty/1415-batuv-institu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skacenazaarchitekturu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eskacenazaarchitekturu.cz/projekty/revitalizace-gahurova-prospektu-predprostor-kulturniho-a-univerzitniho-centra-ve-zline/" TargetMode="External"/><Relationship Id="rId19" Type="http://schemas.openxmlformats.org/officeDocument/2006/relationships/hyperlink" Target="https://www.facebook.com/CeskaCenaZaArchitektu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/pro-media/tiskove-zpravy-cka/o-prestizni-ceskou-cenu-za-architekturu-bude-bojovat-476-del" TargetMode="External"/><Relationship Id="rId14" Type="http://schemas.openxmlformats.org/officeDocument/2006/relationships/hyperlink" Target="http://ceskacenazaarchitekturu.cz/projekty/adaptace-byvalych-zemedelskych-garazi-na-zazemi-biotopu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C3A6-CFF7-4524-AC7F-6481038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7002</Characters>
  <Application>Microsoft Office Word</Application>
  <DocSecurity>0</DocSecurity>
  <Lines>58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STAVEBNĚ SPRÁVNÍ                                                              2 PRAXE</vt:lpstr>
      <vt:lpstr>STAVEBNĚ SPRÁVNÍ                                                              2 PRAXE</vt:lpstr>
    </vt:vector>
  </TitlesOfParts>
  <Company>MMR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michalova.t</cp:lastModifiedBy>
  <cp:revision>5</cp:revision>
  <cp:lastPrinted>2016-06-13T08:13:00Z</cp:lastPrinted>
  <dcterms:created xsi:type="dcterms:W3CDTF">2016-08-02T13:09:00Z</dcterms:created>
  <dcterms:modified xsi:type="dcterms:W3CDTF">2016-09-26T07:58:00Z</dcterms:modified>
</cp:coreProperties>
</file>